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reserve-component-schedule-any-state"/>
    <w:p>
      <w:pPr>
        <w:pStyle w:val="Heading1"/>
      </w:pPr>
      <w:r>
        <w:t xml:space="preserve">Reserve component schedule (any state)</w:t>
      </w:r>
    </w:p>
    <w:p>
      <w:pPr>
        <w:pStyle w:val="FirstParagraph"/>
      </w:pPr>
      <w:r>
        <w:rPr>
          <w:b/>
          <w:bCs/>
        </w:rPr>
        <w:t xml:space="preserve">Association:</w:t>
      </w:r>
      <w:r>
        <w:t xml:space="preserve"> </w:t>
      </w:r>
      <w:r>
        <w:t xml:space="preserve">_______________________________________________</w:t>
      </w:r>
      <w:r>
        <w:t xml:space="preserve"> </w:t>
      </w:r>
      <w:r>
        <w:rPr>
          <w:b/>
          <w:bCs/>
        </w:rPr>
        <w:t xml:space="preserve">State:</w:t>
      </w:r>
      <w:r>
        <w:t xml:space="preserve"> </w:t>
      </w:r>
      <w:r>
        <w:t xml:space="preserve">____________</w:t>
      </w:r>
      <w:r>
        <w:t xml:space="preserve"> </w:t>
      </w:r>
      <w:r>
        <w:rPr>
          <w:b/>
          <w:bCs/>
        </w:rPr>
        <w:t xml:space="preserve">Property type:</w:t>
      </w:r>
      <w:r>
        <w:t xml:space="preserve"> </w:t>
      </w:r>
      <w:r>
        <w:t xml:space="preserve">☐ Condominium ☐ Cooperative ☐ HOA ☐ Other</w:t>
      </w:r>
      <w:r>
        <w:t xml:space="preserve"> </w:t>
      </w:r>
      <w:r>
        <w:rPr>
          <w:b/>
          <w:bCs/>
        </w:rPr>
        <w:t xml:space="preserve">Schedule as of:</w:t>
      </w:r>
      <w:r>
        <w:t xml:space="preserve"> </w:t>
      </w:r>
      <w:r>
        <w:t xml:space="preserve">____________</w:t>
      </w:r>
      <w:r>
        <w:t xml:space="preserve"> </w:t>
      </w:r>
      <w:r>
        <w:rPr>
          <w:b/>
          <w:bCs/>
        </w:rPr>
        <w:t xml:space="preserve">Source study date:</w:t>
      </w:r>
      <w:r>
        <w:t xml:space="preserve"> </w:t>
      </w:r>
      <w:r>
        <w:t xml:space="preserve">____________</w:t>
      </w:r>
      <w:r>
        <w:t xml:space="preserve"> </w:t>
      </w:r>
      <w:r>
        <w:rPr>
          <w:b/>
          <w:bCs/>
        </w:rPr>
        <w:t xml:space="preserve">Preparer:</w:t>
      </w:r>
      <w:r>
        <w:t xml:space="preserve"> </w:t>
      </w:r>
      <w:r>
        <w:t xml:space="preserve">____________________</w:t>
      </w:r>
      <w:r>
        <w:t xml:space="preserve"> </w:t>
      </w:r>
      <w:r>
        <w:rPr>
          <w:b/>
          <w:bCs/>
        </w:rPr>
        <w:t xml:space="preserve">Funding method:</w:t>
      </w:r>
      <w:r>
        <w:t xml:space="preserve"> </w:t>
      </w:r>
      <w:r>
        <w:t xml:space="preserve">☐ Component (each component funded separately) ☐ Pooled (single fund)</w:t>
      </w:r>
    </w:p>
    <w:p>
      <w:pPr>
        <w:pBdr>
          <w:bottom w:val="single" w:sz="4" w:space="1" w:color="D1D5DB"/>
        </w:pBdr>
        <w:spacing w:before="120" w:after="120"/>
      </w:pPr>
    </w:p>
    <w:bookmarkStart w:id="9" w:name="how-to-use-this"/>
    <w:p>
      <w:pPr>
        <w:pStyle w:val="Heading2"/>
      </w:pPr>
      <w:r>
        <w:t xml:space="preserve">How to use this</w:t>
      </w:r>
    </w:p>
    <w:p>
      <w:pPr>
        <w:pStyle w:val="FirstParagraph"/>
      </w:pPr>
      <w:r>
        <w:t xml:space="preserve">A reserve study is a report. A component schedule is the working document the association actually maintains between studies, and it is the one most associations do not keep. The result is familiar: the study is three years old, four components have been replaced since, two were replaced early, and nobody can say what the reserve balance is meant to cover any more.</w:t>
      </w:r>
    </w:p>
    <w:p>
      <w:pPr>
        <w:pStyle w:val="BodyText"/>
      </w:pPr>
      <w:r>
        <w:t xml:space="preserve">This schedule is the ledger side of the reserve study. It carries one row per component, it is updated when work is done rather than when the next study is commissioned, and it reconciles to the reserve component accounts in the chart of accounts.</w:t>
      </w:r>
    </w:p>
    <w:p>
      <w:pPr>
        <w:pStyle w:val="BodyText"/>
      </w:pPr>
      <w:r>
        <w:t xml:space="preserve">It is written for</w:t>
      </w:r>
      <w:r>
        <w:t xml:space="preserve"> </w:t>
      </w:r>
      <w:r>
        <w:rPr>
          <w:b/>
          <w:bCs/>
        </w:rPr>
        <w:t xml:space="preserve">any state</w:t>
      </w:r>
      <w:r>
        <w:t xml:space="preserve">. The component structure, the life and cost fields, and the arithmetic are ordinary reserve practice and do not change at a state line. What changes is whether your state mandates a study, prescribes which components must be included, sets a minimum cost threshold, or restricts what reserve money may be spent on. Establish that first, using the reserve study scope and review checklist, then complete this schedule against it.</w:t>
      </w:r>
    </w:p>
    <w:p>
      <w:pPr>
        <w:pStyle w:val="BodyText"/>
      </w:pPr>
      <w:r>
        <w:t xml:space="preserve">Fill-in fields appear in square brackets. Delete the guidance boxes marked</w:t>
      </w:r>
      <w:r>
        <w:t xml:space="preserve"> </w:t>
      </w:r>
      <w:r>
        <w:t xml:space="preserve">“Builder note”</w:t>
      </w:r>
      <w:r>
        <w:t xml:space="preserve"> </w:t>
      </w:r>
      <w:r>
        <w:t xml:space="preserve">before you circulate this.</w:t>
      </w:r>
    </w:p>
    <w:p>
      <w:pPr>
        <w:pBdr>
          <w:bottom w:val="single" w:sz="4" w:space="1" w:color="D1D5DB"/>
        </w:pBdr>
        <w:spacing w:before="120" w:after="120"/>
      </w:pPr>
    </w:p>
    <w:bookmarkEnd w:id="9"/>
    <w:bookmarkStart w:id="10" w:name="component-eligibility-test"/>
    <w:p>
      <w:pPr>
        <w:pStyle w:val="Heading2"/>
      </w:pPr>
      <w:r>
        <w:t xml:space="preserve">1. Component eligibility test</w:t>
      </w:r>
    </w:p>
    <w:p>
      <w:pPr>
        <w:pStyle w:val="FirstParagraph"/>
      </w:pPr>
      <w:r>
        <w:t xml:space="preserve">Apply this to every candidate before it earns a row. A component belongs on the schedule only if all four are true.</w:t>
      </w:r>
    </w:p>
    <w:p>
      <w:pPr>
        <w:pStyle w:val="Compact"/>
        <w:numPr>
          <w:ilvl w:val="0"/>
          <w:numId w:val="1001"/>
        </w:numPr>
      </w:pPr>
      <w:r>
        <w:t xml:space="preserve">It is a</w:t>
      </w:r>
      <w:r>
        <w:t xml:space="preserve"> </w:t>
      </w:r>
      <w:r>
        <w:rPr>
          <w:b/>
          <w:bCs/>
        </w:rPr>
        <w:t xml:space="preserve">common area maintenance responsibility</w:t>
      </w:r>
      <w:r>
        <w:t xml:space="preserve"> </w:t>
      </w:r>
      <w:r>
        <w:t xml:space="preserve">of the association</w:t>
      </w:r>
    </w:p>
    <w:p>
      <w:pPr>
        <w:pStyle w:val="Compact"/>
        <w:numPr>
          <w:ilvl w:val="0"/>
          <w:numId w:val="1002"/>
        </w:numPr>
      </w:pPr>
      <w:r>
        <w:t xml:space="preserve">It has a</w:t>
      </w:r>
      <w:r>
        <w:t xml:space="preserve"> </w:t>
      </w:r>
      <w:r>
        <w:rPr>
          <w:b/>
          <w:bCs/>
        </w:rPr>
        <w:t xml:space="preserve">limited useful life</w:t>
      </w:r>
    </w:p>
    <w:p>
      <w:pPr>
        <w:pStyle w:val="Compact"/>
        <w:numPr>
          <w:ilvl w:val="0"/>
          <w:numId w:val="1003"/>
        </w:numPr>
      </w:pPr>
      <w:r>
        <w:t xml:space="preserve">That remaining useful life is</w:t>
      </w:r>
      <w:r>
        <w:t xml:space="preserve"> </w:t>
      </w:r>
      <w:r>
        <w:rPr>
          <w:b/>
          <w:bCs/>
        </w:rPr>
        <w:t xml:space="preserve">predictable</w:t>
      </w:r>
    </w:p>
    <w:p>
      <w:pPr>
        <w:pStyle w:val="Compact"/>
        <w:numPr>
          <w:ilvl w:val="0"/>
          <w:numId w:val="1004"/>
        </w:numPr>
      </w:pPr>
      <w:r>
        <w:t xml:space="preserve">Its cost is</w:t>
      </w:r>
      <w:r>
        <w:t xml:space="preserve"> </w:t>
      </w:r>
      <w:r>
        <w:rPr>
          <w:b/>
          <w:bCs/>
        </w:rPr>
        <w:t xml:space="preserve">above the threshold</w:t>
      </w:r>
      <w:r>
        <w:t xml:space="preserve"> </w:t>
      </w:r>
      <w:r>
        <w:t xml:space="preserve">the association applies: [$ amount]</w:t>
      </w:r>
    </w:p>
    <w:p>
      <w:pPr>
        <w:pStyle w:val="FirstParagraph"/>
      </w:pPr>
      <w:r>
        <w:t xml:space="preserve">Anything failing the test is either an operating expense or an owner responsibility. Record the exclusions and the reason, because the question will be asked again next study:</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Item considered</w:t>
            </w:r>
          </w:p>
        </w:tc>
        <w:tc>
          <w:tcPr/>
          <w:p>
            <w:pPr>
              <w:pStyle w:val="Compact"/>
            </w:pPr>
            <w:r>
              <w:t xml:space="preserve">Excluded because</w:t>
            </w:r>
          </w:p>
        </w:tc>
        <w:tc>
          <w:tcPr/>
          <w:p>
            <w:pPr>
              <w:pStyle w:val="Compact"/>
            </w:pPr>
            <w:r>
              <w:t xml:space="preserve">Decided on</w:t>
            </w:r>
          </w:p>
        </w:tc>
      </w:tr>
      <w:tr>
        <w:tc>
          <w:tcPr/>
          <w:p>
            <w:pPr>
              <w:pStyle w:val="Compact"/>
            </w:pPr>
            <w:r>
              <w:t xml:space="preserve">[item]</w:t>
            </w:r>
          </w:p>
        </w:tc>
        <w:tc>
          <w:tcPr/>
          <w:p>
            <w:pPr>
              <w:pStyle w:val="Compact"/>
            </w:pPr>
            <w:r>
              <w:t xml:space="preserve">[fails which part of the test, or state-law reason]</w:t>
            </w:r>
          </w:p>
        </w:tc>
        <w:tc>
          <w:tcPr/>
          <w:p>
            <w:pPr>
              <w:pStyle w:val="Compact"/>
            </w:pPr>
            <w:r>
              <w:t xml:space="preserve">[date]</w:t>
            </w:r>
          </w:p>
        </w:tc>
      </w:tr>
      <w:tr>
        <w:tc>
          <w:tcPr/>
          <w:p>
            <w:pPr>
              <w:pStyle w:val="Compact"/>
            </w:pPr>
          </w:p>
        </w:tc>
        <w:tc>
          <w:tcPr/>
          <w:p>
            <w:pPr>
              <w:pStyle w:val="Compact"/>
            </w:pPr>
          </w:p>
        </w:tc>
        <w:tc>
          <w:tcPr/>
          <w:p>
            <w:pPr>
              <w:pStyle w:val="Compact"/>
            </w:pPr>
          </w:p>
        </w:tc>
      </w:tr>
    </w:tbl>
    <w:p>
      <w:pPr>
        <w:pStyle w:val="BodyText"/>
      </w:pPr>
      <w:r>
        <w:rPr>
          <w:b/>
          <w:bCs/>
        </w:rPr>
        <w:t xml:space="preserve">Builder note.</w:t>
      </w:r>
      <w:r>
        <w:t xml:space="preserve"> </w:t>
      </w:r>
      <w:r>
        <w:t xml:space="preserve">Where state law prescribes components or a threshold, the statute sets the floor and this test operates above it. Never use the test to drop something your state requires.</w:t>
      </w:r>
    </w:p>
    <w:p>
      <w:pPr>
        <w:pBdr>
          <w:bottom w:val="single" w:sz="4" w:space="1" w:color="D1D5DB"/>
        </w:pBdr>
        <w:spacing w:before="120" w:after="120"/>
      </w:pPr>
    </w:p>
    <w:bookmarkEnd w:id="10"/>
    <w:bookmarkStart w:id="11" w:name="column-definitions"/>
    <w:p>
      <w:pPr>
        <w:pStyle w:val="Heading2"/>
      </w:pPr>
      <w:r>
        <w:t xml:space="preserve">2. Column definitions</w:t>
      </w:r>
    </w:p>
    <w:p>
      <w:pPr>
        <w:pStyle w:val="FirstParagraph"/>
      </w:pPr>
      <w:r>
        <w:t xml:space="preserve">Agree these before anyone fills a row in. Most schedule disputes are definitional, not arithmetic.</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Column</w:t>
            </w:r>
          </w:p>
        </w:tc>
        <w:tc>
          <w:tcPr/>
          <w:p>
            <w:pPr>
              <w:pStyle w:val="Compact"/>
            </w:pPr>
            <w:r>
              <w:t xml:space="preserve">Means</w:t>
            </w:r>
          </w:p>
        </w:tc>
      </w:tr>
      <w:tr>
        <w:tc>
          <w:tcPr/>
          <w:p>
            <w:pPr>
              <w:pStyle w:val="Compact"/>
            </w:pPr>
            <w:r>
              <w:rPr>
                <w:b/>
                <w:bCs/>
              </w:rPr>
              <w:t xml:space="preserve">Component</w:t>
            </w:r>
          </w:p>
        </w:tc>
        <w:tc>
          <w:tcPr/>
          <w:p>
            <w:pPr>
              <w:pStyle w:val="Compact"/>
            </w:pPr>
            <w:r>
              <w:t xml:space="preserve">The asset, named as the study names it</w:t>
            </w:r>
          </w:p>
        </w:tc>
      </w:tr>
      <w:tr>
        <w:tc>
          <w:tcPr/>
          <w:p>
            <w:pPr>
              <w:pStyle w:val="Compact"/>
            </w:pPr>
            <w:r>
              <w:rPr>
                <w:b/>
                <w:bCs/>
              </w:rPr>
              <w:t xml:space="preserve">Quantity / unit</w:t>
            </w:r>
          </w:p>
        </w:tc>
        <w:tc>
          <w:tcPr/>
          <w:p>
            <w:pPr>
              <w:pStyle w:val="Compact"/>
            </w:pPr>
            <w:r>
              <w:t xml:space="preserve">What is being replaced, in the unit the cost is quoted in</w:t>
            </w:r>
          </w:p>
        </w:tc>
      </w:tr>
      <w:tr>
        <w:tc>
          <w:tcPr/>
          <w:p>
            <w:pPr>
              <w:pStyle w:val="Compact"/>
            </w:pPr>
            <w:r>
              <w:rPr>
                <w:b/>
                <w:bCs/>
              </w:rPr>
              <w:t xml:space="preserve">Placed in service</w:t>
            </w:r>
          </w:p>
        </w:tc>
        <w:tc>
          <w:tcPr/>
          <w:p>
            <w:pPr>
              <w:pStyle w:val="Compact"/>
            </w:pPr>
            <w:r>
              <w:t xml:space="preserve">When the current asset was installed or last fully replaced</w:t>
            </w:r>
          </w:p>
        </w:tc>
      </w:tr>
      <w:tr>
        <w:tc>
          <w:tcPr/>
          <w:p>
            <w:pPr>
              <w:pStyle w:val="Compact"/>
            </w:pPr>
            <w:r>
              <w:rPr>
                <w:b/>
                <w:bCs/>
              </w:rPr>
              <w:t xml:space="preserve">Useful life (UL)</w:t>
            </w:r>
          </w:p>
        </w:tc>
        <w:tc>
          <w:tcPr/>
          <w:p>
            <w:pPr>
              <w:pStyle w:val="Compact"/>
            </w:pPr>
            <w:r>
              <w:t xml:space="preserve">Expected total service life in years, when new</w:t>
            </w:r>
          </w:p>
        </w:tc>
      </w:tr>
      <w:tr>
        <w:tc>
          <w:tcPr/>
          <w:p>
            <w:pPr>
              <w:pStyle w:val="Compact"/>
            </w:pPr>
            <w:r>
              <w:rPr>
                <w:b/>
                <w:bCs/>
              </w:rPr>
              <w:t xml:space="preserve">Remaining useful life (RUL)</w:t>
            </w:r>
          </w:p>
        </w:tc>
        <w:tc>
          <w:tcPr/>
          <w:p>
            <w:pPr>
              <w:pStyle w:val="Compact"/>
            </w:pPr>
            <w:r>
              <w:t xml:space="preserve">Years left from the schedule date, based on</w:t>
            </w:r>
            <w:r>
              <w:t xml:space="preserve"> </w:t>
            </w:r>
            <w:r>
              <w:rPr>
                <w:b/>
                <w:bCs/>
              </w:rPr>
              <w:t xml:space="preserve">observed condition</w:t>
            </w:r>
            <w:r>
              <w:t xml:space="preserve">, not simply UL minus age</w:t>
            </w:r>
          </w:p>
        </w:tc>
      </w:tr>
      <w:tr>
        <w:tc>
          <w:tcPr/>
          <w:p>
            <w:pPr>
              <w:pStyle w:val="Compact"/>
            </w:pPr>
            <w:r>
              <w:rPr>
                <w:b/>
                <w:bCs/>
              </w:rPr>
              <w:t xml:space="preserve">Replacement cost</w:t>
            </w:r>
          </w:p>
        </w:tc>
        <w:tc>
          <w:tcPr/>
          <w:p>
            <w:pPr>
              <w:pStyle w:val="Compact"/>
            </w:pPr>
            <w:r>
              <w:t xml:space="preserve">Today’s full cost: materials, labour, demolition, disposal, permits, access, engineering, contingency</w:t>
            </w:r>
          </w:p>
        </w:tc>
      </w:tr>
      <w:tr>
        <w:tc>
          <w:tcPr/>
          <w:p>
            <w:pPr>
              <w:pStyle w:val="Compact"/>
            </w:pPr>
            <w:r>
              <w:rPr>
                <w:b/>
                <w:bCs/>
              </w:rPr>
              <w:t xml:space="preserve">Cost basis</w:t>
            </w:r>
          </w:p>
        </w:tc>
        <w:tc>
          <w:tcPr/>
          <w:p>
            <w:pPr>
              <w:pStyle w:val="Compact"/>
            </w:pPr>
            <w:r>
              <w:t xml:space="preserve">Where the number came from: bid, published cost data, prior actual, preparer estimate</w:t>
            </w:r>
          </w:p>
        </w:tc>
      </w:tr>
      <w:tr>
        <w:tc>
          <w:tcPr/>
          <w:p>
            <w:pPr>
              <w:pStyle w:val="Compact"/>
            </w:pPr>
            <w:r>
              <w:rPr>
                <w:b/>
                <w:bCs/>
              </w:rPr>
              <w:t xml:space="preserve">Current balance</w:t>
            </w:r>
          </w:p>
        </w:tc>
        <w:tc>
          <w:tcPr/>
          <w:p>
            <w:pPr>
              <w:pStyle w:val="Compact"/>
            </w:pPr>
            <w:r>
              <w:t xml:space="preserve">Allocated reserve balance for this component (component funding only)</w:t>
            </w:r>
          </w:p>
        </w:tc>
      </w:tr>
      <w:tr>
        <w:tc>
          <w:tcPr/>
          <w:p>
            <w:pPr>
              <w:pStyle w:val="Compact"/>
            </w:pPr>
            <w:r>
              <w:rPr>
                <w:b/>
                <w:bCs/>
              </w:rPr>
              <w:t xml:space="preserve">Annual contribution</w:t>
            </w:r>
          </w:p>
        </w:tc>
        <w:tc>
          <w:tcPr/>
          <w:p>
            <w:pPr>
              <w:pStyle w:val="Compact"/>
            </w:pPr>
            <w:r>
              <w:t xml:space="preserve">This component’s share of the annual reserve contribution</w:t>
            </w:r>
          </w:p>
        </w:tc>
      </w:tr>
      <w:tr>
        <w:tc>
          <w:tcPr/>
          <w:p>
            <w:pPr>
              <w:pStyle w:val="Compact"/>
            </w:pPr>
            <w:r>
              <w:rPr>
                <w:b/>
                <w:bCs/>
              </w:rPr>
              <w:t xml:space="preserve">Next action year</w:t>
            </w:r>
          </w:p>
        </w:tc>
        <w:tc>
          <w:tcPr/>
          <w:p>
            <w:pPr>
              <w:pStyle w:val="Compact"/>
            </w:pPr>
            <w:r>
              <w:t xml:space="preserve">Schedule year plus RUL</w:t>
            </w:r>
          </w:p>
        </w:tc>
      </w:tr>
    </w:tbl>
    <w:p>
      <w:pPr>
        <w:pStyle w:val="BodyText"/>
      </w:pPr>
      <w:r>
        <w:rPr>
          <w:b/>
          <w:bCs/>
        </w:rPr>
        <w:t xml:space="preserve">Builder note.</w:t>
      </w:r>
      <w:r>
        <w:t xml:space="preserve"> </w:t>
      </w:r>
      <w:r>
        <w:t xml:space="preserve">RUL is the field that gets fudged. A component at the end of its useful life that is still performing has a positive RUL only if someone has looked at it. If the number came from arithmetic rather than an inspection, mark the cost basis accordingly so the next reader knows.</w:t>
      </w:r>
    </w:p>
    <w:p>
      <w:pPr>
        <w:pBdr>
          <w:bottom w:val="single" w:sz="4" w:space="1" w:color="D1D5DB"/>
        </w:pBdr>
        <w:spacing w:before="120" w:after="120"/>
      </w:pPr>
    </w:p>
    <w:bookmarkEnd w:id="11"/>
    <w:bookmarkStart w:id="18" w:name="component-schedule"/>
    <w:p>
      <w:pPr>
        <w:pStyle w:val="Heading2"/>
      </w:pPr>
      <w:r>
        <w:t xml:space="preserve">3. Component schedule</w:t>
      </w:r>
    </w:p>
    <w:p>
      <w:pPr>
        <w:pStyle w:val="FirstParagraph"/>
      </w:pPr>
      <w:r>
        <w:t xml:space="preserve">Add rows as needed. Group by system so the schedule reads the way the property is maintained.</w:t>
      </w:r>
    </w:p>
    <w:bookmarkStart w:id="12" w:name="roofing-and-building-envelope"/>
    <w:p>
      <w:pPr>
        <w:pStyle w:val="Heading3"/>
      </w:pPr>
      <w:r>
        <w:t xml:space="preserve">Roofing and building envelope</w:t>
      </w:r>
    </w:p>
    <w:tbl>
      <w:tblPr>
        <w:tblStyle w:val="Table"/>
        <w:tblW w:type="pct" w:w="5000"/>
        <w:tblLayout w:type="fixed"/>
        <w:tblLook w:firstRow="1" w:lastRow="0" w:firstColumn="0" w:lastColumn="0" w:noHBand="0" w:noVBand="0" w:val="0020"/>
      </w:tblPr>
      <w:tblGrid>
        <w:gridCol w:w="719"/>
        <w:gridCol w:w="719"/>
        <w:gridCol w:w="719"/>
        <w:gridCol w:w="719"/>
        <w:gridCol w:w="719"/>
        <w:gridCol w:w="719"/>
        <w:gridCol w:w="719"/>
        <w:gridCol w:w="719"/>
        <w:gridCol w:w="719"/>
        <w:gridCol w:w="719"/>
        <w:gridCol w:w="719"/>
      </w:tblGrid>
      <w:tr>
        <w:trPr>
          <w:tblHeader w:val="on"/>
        </w:trPr>
        <w:tc>
          <w:tcPr/>
          <w:p>
            <w:pPr>
              <w:pStyle w:val="Compact"/>
            </w:pPr>
            <w:r>
              <w:t xml:space="preserve">#</w:t>
            </w:r>
          </w:p>
        </w:tc>
        <w:tc>
          <w:tcPr/>
          <w:p>
            <w:pPr>
              <w:pStyle w:val="Compact"/>
            </w:pPr>
            <w:r>
              <w:t xml:space="preserve">Component</w:t>
            </w:r>
          </w:p>
        </w:tc>
        <w:tc>
          <w:tcPr/>
          <w:p>
            <w:pPr>
              <w:pStyle w:val="Compact"/>
            </w:pPr>
            <w:r>
              <w:t xml:space="preserve">Qty / unit</w:t>
            </w:r>
          </w:p>
        </w:tc>
        <w:tc>
          <w:tcPr/>
          <w:p>
            <w:pPr>
              <w:pStyle w:val="Compact"/>
            </w:pPr>
            <w:r>
              <w:t xml:space="preserve">Placed in service</w:t>
            </w:r>
          </w:p>
        </w:tc>
        <w:tc>
          <w:tcPr/>
          <w:p>
            <w:pPr>
              <w:pStyle w:val="Compact"/>
            </w:pPr>
            <w:r>
              <w:t xml:space="preserve">UL</w:t>
            </w:r>
          </w:p>
        </w:tc>
        <w:tc>
          <w:tcPr/>
          <w:p>
            <w:pPr>
              <w:pStyle w:val="Compact"/>
            </w:pPr>
            <w:r>
              <w:t xml:space="preserve">RUL</w:t>
            </w:r>
          </w:p>
        </w:tc>
        <w:tc>
          <w:tcPr/>
          <w:p>
            <w:pPr>
              <w:pStyle w:val="Compact"/>
            </w:pPr>
            <w:r>
              <w:t xml:space="preserve">Replacement cost</w:t>
            </w:r>
          </w:p>
        </w:tc>
        <w:tc>
          <w:tcPr/>
          <w:p>
            <w:pPr>
              <w:pStyle w:val="Compact"/>
            </w:pPr>
            <w:r>
              <w:t xml:space="preserve">Cost basis</w:t>
            </w:r>
          </w:p>
        </w:tc>
        <w:tc>
          <w:tcPr/>
          <w:p>
            <w:pPr>
              <w:pStyle w:val="Compact"/>
            </w:pPr>
            <w:r>
              <w:t xml:space="preserve">Current balance</w:t>
            </w:r>
          </w:p>
        </w:tc>
        <w:tc>
          <w:tcPr/>
          <w:p>
            <w:pPr>
              <w:pStyle w:val="Compact"/>
            </w:pPr>
            <w:r>
              <w:t xml:space="preserve">Annual contribution</w:t>
            </w:r>
          </w:p>
        </w:tc>
        <w:tc>
          <w:tcPr/>
          <w:p>
            <w:pPr>
              <w:pStyle w:val="Compact"/>
            </w:pPr>
            <w:r>
              <w:t xml:space="preserve">Next action year</w:t>
            </w:r>
          </w:p>
        </w:tc>
      </w:tr>
      <w:tr>
        <w:tc>
          <w:tcPr/>
          <w:p>
            <w:pPr>
              <w:pStyle w:val="Compact"/>
            </w:pPr>
            <w:r>
              <w:t xml:space="preserve">9110</w:t>
            </w:r>
          </w:p>
        </w:tc>
        <w:tc>
          <w:tcPr/>
          <w:p>
            <w:pPr>
              <w:pStyle w:val="Compact"/>
            </w:pPr>
            <w:r>
              <w:t xml:space="preserve">Roof, [building / area]</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9120</w:t>
            </w:r>
          </w:p>
        </w:tc>
        <w:tc>
          <w:tcPr/>
          <w:p>
            <w:pPr>
              <w:pStyle w:val="Compact"/>
            </w:pPr>
            <w:r>
              <w:t xml:space="preserve">Gutters and downspouts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9130</w:t>
            </w:r>
          </w:p>
        </w:tc>
        <w:tc>
          <w:tcPr/>
          <w:p>
            <w:pPr>
              <w:pStyle w:val="Compact"/>
            </w:pPr>
            <w:r>
              <w:t xml:space="preserve">Exterior paint or coating</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9140</w:t>
            </w:r>
          </w:p>
        </w:tc>
        <w:tc>
          <w:tcPr/>
          <w:p>
            <w:pPr>
              <w:pStyle w:val="Compact"/>
            </w:pPr>
            <w:r>
              <w:t xml:space="preserve">Siding or cladding</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9150</w:t>
            </w:r>
          </w:p>
        </w:tc>
        <w:tc>
          <w:tcPr/>
          <w:p>
            <w:pPr>
              <w:pStyle w:val="Compact"/>
            </w:pPr>
            <w:r>
              <w:t xml:space="preserve">Windows, common area</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9160</w:t>
            </w:r>
          </w:p>
        </w:tc>
        <w:tc>
          <w:tcPr/>
          <w:p>
            <w:pPr>
              <w:pStyle w:val="Compact"/>
            </w:pPr>
            <w:r>
              <w:t xml:space="preserve">Exterior doors, common area</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9170</w:t>
            </w:r>
          </w:p>
        </w:tc>
        <w:tc>
          <w:tcPr/>
          <w:p>
            <w:pPr>
              <w:pStyle w:val="Compact"/>
            </w:pPr>
            <w:r>
              <w:t xml:space="preserve">Balconies, railings, walkways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9180</w:t>
            </w:r>
          </w:p>
        </w:tc>
        <w:tc>
          <w:tcPr/>
          <w:p>
            <w:pPr>
              <w:pStyle w:val="Compact"/>
            </w:pPr>
            <w:r>
              <w:t xml:space="preserve">Waterproofing and sealants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bookmarkEnd w:id="12"/>
    <w:bookmarkStart w:id="13" w:name="paving-and-site"/>
    <w:p>
      <w:pPr>
        <w:pStyle w:val="Heading3"/>
      </w:pPr>
      <w:r>
        <w:t xml:space="preserve">Paving and site</w:t>
      </w:r>
    </w:p>
    <w:tbl>
      <w:tblPr>
        <w:tblStyle w:val="Table"/>
        <w:tblW w:type="pct" w:w="5000"/>
        <w:tblLayout w:type="fixed"/>
        <w:tblLook w:firstRow="1" w:lastRow="0" w:firstColumn="0" w:lastColumn="0" w:noHBand="0" w:noVBand="0" w:val="0020"/>
      </w:tblPr>
      <w:tblGrid>
        <w:gridCol w:w="719"/>
        <w:gridCol w:w="719"/>
        <w:gridCol w:w="719"/>
        <w:gridCol w:w="719"/>
        <w:gridCol w:w="719"/>
        <w:gridCol w:w="719"/>
        <w:gridCol w:w="719"/>
        <w:gridCol w:w="719"/>
        <w:gridCol w:w="719"/>
        <w:gridCol w:w="719"/>
        <w:gridCol w:w="719"/>
      </w:tblGrid>
      <w:tr>
        <w:trPr>
          <w:tblHeader w:val="on"/>
        </w:trPr>
        <w:tc>
          <w:tcPr/>
          <w:p>
            <w:pPr>
              <w:pStyle w:val="Compact"/>
            </w:pPr>
            <w:r>
              <w:t xml:space="preserve">#</w:t>
            </w:r>
          </w:p>
        </w:tc>
        <w:tc>
          <w:tcPr/>
          <w:p>
            <w:pPr>
              <w:pStyle w:val="Compact"/>
            </w:pPr>
            <w:r>
              <w:t xml:space="preserve">Component</w:t>
            </w:r>
          </w:p>
        </w:tc>
        <w:tc>
          <w:tcPr/>
          <w:p>
            <w:pPr>
              <w:pStyle w:val="Compact"/>
            </w:pPr>
            <w:r>
              <w:t xml:space="preserve">Qty / unit</w:t>
            </w:r>
          </w:p>
        </w:tc>
        <w:tc>
          <w:tcPr/>
          <w:p>
            <w:pPr>
              <w:pStyle w:val="Compact"/>
            </w:pPr>
            <w:r>
              <w:t xml:space="preserve">Placed in service</w:t>
            </w:r>
          </w:p>
        </w:tc>
        <w:tc>
          <w:tcPr/>
          <w:p>
            <w:pPr>
              <w:pStyle w:val="Compact"/>
            </w:pPr>
            <w:r>
              <w:t xml:space="preserve">UL</w:t>
            </w:r>
          </w:p>
        </w:tc>
        <w:tc>
          <w:tcPr/>
          <w:p>
            <w:pPr>
              <w:pStyle w:val="Compact"/>
            </w:pPr>
            <w:r>
              <w:t xml:space="preserve">RUL</w:t>
            </w:r>
          </w:p>
        </w:tc>
        <w:tc>
          <w:tcPr/>
          <w:p>
            <w:pPr>
              <w:pStyle w:val="Compact"/>
            </w:pPr>
            <w:r>
              <w:t xml:space="preserve">Replacement cost</w:t>
            </w:r>
          </w:p>
        </w:tc>
        <w:tc>
          <w:tcPr/>
          <w:p>
            <w:pPr>
              <w:pStyle w:val="Compact"/>
            </w:pPr>
            <w:r>
              <w:t xml:space="preserve">Cost basis</w:t>
            </w:r>
          </w:p>
        </w:tc>
        <w:tc>
          <w:tcPr/>
          <w:p>
            <w:pPr>
              <w:pStyle w:val="Compact"/>
            </w:pPr>
            <w:r>
              <w:t xml:space="preserve">Current balance</w:t>
            </w:r>
          </w:p>
        </w:tc>
        <w:tc>
          <w:tcPr/>
          <w:p>
            <w:pPr>
              <w:pStyle w:val="Compact"/>
            </w:pPr>
            <w:r>
              <w:t xml:space="preserve">Annual contribution</w:t>
            </w:r>
          </w:p>
        </w:tc>
        <w:tc>
          <w:tcPr/>
          <w:p>
            <w:pPr>
              <w:pStyle w:val="Compact"/>
            </w:pPr>
            <w:r>
              <w:t xml:space="preserve">Next action year</w:t>
            </w:r>
          </w:p>
        </w:tc>
      </w:tr>
      <w:tr>
        <w:tc>
          <w:tcPr/>
          <w:p>
            <w:pPr>
              <w:pStyle w:val="Compact"/>
            </w:pPr>
            <w:r>
              <w:t xml:space="preserve">9210</w:t>
            </w:r>
          </w:p>
        </w:tc>
        <w:tc>
          <w:tcPr/>
          <w:p>
            <w:pPr>
              <w:pStyle w:val="Compact"/>
            </w:pPr>
            <w:r>
              <w:t xml:space="preserve">Asphalt, resurface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9220</w:t>
            </w:r>
          </w:p>
        </w:tc>
        <w:tc>
          <w:tcPr/>
          <w:p>
            <w:pPr>
              <w:pStyle w:val="Compact"/>
            </w:pPr>
            <w:r>
              <w:t xml:space="preserve">Asphalt, seal and stripe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9230</w:t>
            </w:r>
          </w:p>
        </w:tc>
        <w:tc>
          <w:tcPr/>
          <w:p>
            <w:pPr>
              <w:pStyle w:val="Compact"/>
            </w:pPr>
            <w:r>
              <w:t xml:space="preserve">Concrete, sidewalks and curbs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9240</w:t>
            </w:r>
          </w:p>
        </w:tc>
        <w:tc>
          <w:tcPr/>
          <w:p>
            <w:pPr>
              <w:pStyle w:val="Compact"/>
            </w:pPr>
            <w:r>
              <w:t xml:space="preserve">Retaining walls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9250</w:t>
            </w:r>
          </w:p>
        </w:tc>
        <w:tc>
          <w:tcPr/>
          <w:p>
            <w:pPr>
              <w:pStyle w:val="Compact"/>
            </w:pPr>
            <w:r>
              <w:t xml:space="preserve">Fencing and gates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9260</w:t>
            </w:r>
          </w:p>
        </w:tc>
        <w:tc>
          <w:tcPr/>
          <w:p>
            <w:pPr>
              <w:pStyle w:val="Compact"/>
            </w:pPr>
            <w:r>
              <w:t xml:space="preserve">Site lighting</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9270</w:t>
            </w:r>
          </w:p>
        </w:tc>
        <w:tc>
          <w:tcPr/>
          <w:p>
            <w:pPr>
              <w:pStyle w:val="Compact"/>
            </w:pPr>
            <w:r>
              <w:t xml:space="preserve">Signage</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9280</w:t>
            </w:r>
          </w:p>
        </w:tc>
        <w:tc>
          <w:tcPr/>
          <w:p>
            <w:pPr>
              <w:pStyle w:val="Compact"/>
            </w:pPr>
            <w:r>
              <w:t xml:space="preserve">Drainage and stormwater structures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bookmarkEnd w:id="13"/>
    <w:bookmarkStart w:id="14" w:name="mechanical-electrical-plumbing"/>
    <w:p>
      <w:pPr>
        <w:pStyle w:val="Heading3"/>
      </w:pPr>
      <w:r>
        <w:t xml:space="preserve">Mechanical, electrical, plumbing</w:t>
      </w:r>
    </w:p>
    <w:tbl>
      <w:tblPr>
        <w:tblStyle w:val="Table"/>
        <w:tblW w:type="pct" w:w="5000"/>
        <w:tblLayout w:type="fixed"/>
        <w:tblLook w:firstRow="1" w:lastRow="0" w:firstColumn="0" w:lastColumn="0" w:noHBand="0" w:noVBand="0" w:val="0020"/>
      </w:tblPr>
      <w:tblGrid>
        <w:gridCol w:w="719"/>
        <w:gridCol w:w="719"/>
        <w:gridCol w:w="719"/>
        <w:gridCol w:w="719"/>
        <w:gridCol w:w="719"/>
        <w:gridCol w:w="719"/>
        <w:gridCol w:w="719"/>
        <w:gridCol w:w="719"/>
        <w:gridCol w:w="719"/>
        <w:gridCol w:w="719"/>
        <w:gridCol w:w="719"/>
      </w:tblGrid>
      <w:tr>
        <w:trPr>
          <w:tblHeader w:val="on"/>
        </w:trPr>
        <w:tc>
          <w:tcPr/>
          <w:p>
            <w:pPr>
              <w:pStyle w:val="Compact"/>
            </w:pPr>
            <w:r>
              <w:t xml:space="preserve">#</w:t>
            </w:r>
          </w:p>
        </w:tc>
        <w:tc>
          <w:tcPr/>
          <w:p>
            <w:pPr>
              <w:pStyle w:val="Compact"/>
            </w:pPr>
            <w:r>
              <w:t xml:space="preserve">Component</w:t>
            </w:r>
          </w:p>
        </w:tc>
        <w:tc>
          <w:tcPr/>
          <w:p>
            <w:pPr>
              <w:pStyle w:val="Compact"/>
            </w:pPr>
            <w:r>
              <w:t xml:space="preserve">Qty / unit</w:t>
            </w:r>
          </w:p>
        </w:tc>
        <w:tc>
          <w:tcPr/>
          <w:p>
            <w:pPr>
              <w:pStyle w:val="Compact"/>
            </w:pPr>
            <w:r>
              <w:t xml:space="preserve">Placed in service</w:t>
            </w:r>
          </w:p>
        </w:tc>
        <w:tc>
          <w:tcPr/>
          <w:p>
            <w:pPr>
              <w:pStyle w:val="Compact"/>
            </w:pPr>
            <w:r>
              <w:t xml:space="preserve">UL</w:t>
            </w:r>
          </w:p>
        </w:tc>
        <w:tc>
          <w:tcPr/>
          <w:p>
            <w:pPr>
              <w:pStyle w:val="Compact"/>
            </w:pPr>
            <w:r>
              <w:t xml:space="preserve">RUL</w:t>
            </w:r>
          </w:p>
        </w:tc>
        <w:tc>
          <w:tcPr/>
          <w:p>
            <w:pPr>
              <w:pStyle w:val="Compact"/>
            </w:pPr>
            <w:r>
              <w:t xml:space="preserve">Replacement cost</w:t>
            </w:r>
          </w:p>
        </w:tc>
        <w:tc>
          <w:tcPr/>
          <w:p>
            <w:pPr>
              <w:pStyle w:val="Compact"/>
            </w:pPr>
            <w:r>
              <w:t xml:space="preserve">Cost basis</w:t>
            </w:r>
          </w:p>
        </w:tc>
        <w:tc>
          <w:tcPr/>
          <w:p>
            <w:pPr>
              <w:pStyle w:val="Compact"/>
            </w:pPr>
            <w:r>
              <w:t xml:space="preserve">Current balance</w:t>
            </w:r>
          </w:p>
        </w:tc>
        <w:tc>
          <w:tcPr/>
          <w:p>
            <w:pPr>
              <w:pStyle w:val="Compact"/>
            </w:pPr>
            <w:r>
              <w:t xml:space="preserve">Annual contribution</w:t>
            </w:r>
          </w:p>
        </w:tc>
        <w:tc>
          <w:tcPr/>
          <w:p>
            <w:pPr>
              <w:pStyle w:val="Compact"/>
            </w:pPr>
            <w:r>
              <w:t xml:space="preserve">Next action year</w:t>
            </w:r>
          </w:p>
        </w:tc>
      </w:tr>
      <w:tr>
        <w:tc>
          <w:tcPr/>
          <w:p>
            <w:pPr>
              <w:pStyle w:val="Compact"/>
            </w:pPr>
            <w:r>
              <w:t xml:space="preserve">9310</w:t>
            </w:r>
          </w:p>
        </w:tc>
        <w:tc>
          <w:tcPr/>
          <w:p>
            <w:pPr>
              <w:pStyle w:val="Compact"/>
            </w:pPr>
            <w:r>
              <w:t xml:space="preserve">HVAC, common area</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9320</w:t>
            </w:r>
          </w:p>
        </w:tc>
        <w:tc>
          <w:tcPr/>
          <w:p>
            <w:pPr>
              <w:pStyle w:val="Compact"/>
            </w:pPr>
            <w:r>
              <w:t xml:space="preserve">Boilers or central plant</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9330</w:t>
            </w:r>
          </w:p>
        </w:tc>
        <w:tc>
          <w:tcPr/>
          <w:p>
            <w:pPr>
              <w:pStyle w:val="Compact"/>
            </w:pPr>
            <w:r>
              <w:t xml:space="preserve">Water heaters, common</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9340</w:t>
            </w:r>
          </w:p>
        </w:tc>
        <w:tc>
          <w:tcPr/>
          <w:p>
            <w:pPr>
              <w:pStyle w:val="Compact"/>
            </w:pPr>
            <w:r>
              <w:t xml:space="preserve">Domestic water piping</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9350</w:t>
            </w:r>
          </w:p>
        </w:tc>
        <w:tc>
          <w:tcPr/>
          <w:p>
            <w:pPr>
              <w:pStyle w:val="Compact"/>
            </w:pPr>
            <w:r>
              <w:t xml:space="preserve">Sanitary and storm piping</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9360</w:t>
            </w:r>
          </w:p>
        </w:tc>
        <w:tc>
          <w:tcPr/>
          <w:p>
            <w:pPr>
              <w:pStyle w:val="Compact"/>
            </w:pPr>
            <w:r>
              <w:t xml:space="preserve">Electrical distribution</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9370</w:t>
            </w:r>
          </w:p>
        </w:tc>
        <w:tc>
          <w:tcPr/>
          <w:p>
            <w:pPr>
              <w:pStyle w:val="Compact"/>
            </w:pPr>
            <w:r>
              <w:t xml:space="preserve">Emergency generator</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9380</w:t>
            </w:r>
          </w:p>
        </w:tc>
        <w:tc>
          <w:tcPr/>
          <w:p>
            <w:pPr>
              <w:pStyle w:val="Compact"/>
            </w:pPr>
            <w:r>
              <w:t xml:space="preserve">Fire alarm and suppression</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9390</w:t>
            </w:r>
          </w:p>
        </w:tc>
        <w:tc>
          <w:tcPr/>
          <w:p>
            <w:pPr>
              <w:pStyle w:val="Compact"/>
            </w:pPr>
            <w:r>
              <w:t xml:space="preserve">Elevators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bookmarkEnd w:id="14"/>
    <w:bookmarkStart w:id="15" w:name="amenities"/>
    <w:p>
      <w:pPr>
        <w:pStyle w:val="Heading3"/>
      </w:pPr>
      <w:r>
        <w:t xml:space="preserve">Amenities</w:t>
      </w:r>
    </w:p>
    <w:tbl>
      <w:tblPr>
        <w:tblStyle w:val="Table"/>
        <w:tblW w:type="pct" w:w="5000"/>
        <w:tblLayout w:type="fixed"/>
        <w:tblLook w:firstRow="1" w:lastRow="0" w:firstColumn="0" w:lastColumn="0" w:noHBand="0" w:noVBand="0" w:val="0020"/>
      </w:tblPr>
      <w:tblGrid>
        <w:gridCol w:w="719"/>
        <w:gridCol w:w="719"/>
        <w:gridCol w:w="719"/>
        <w:gridCol w:w="719"/>
        <w:gridCol w:w="719"/>
        <w:gridCol w:w="719"/>
        <w:gridCol w:w="719"/>
        <w:gridCol w:w="719"/>
        <w:gridCol w:w="719"/>
        <w:gridCol w:w="719"/>
        <w:gridCol w:w="719"/>
      </w:tblGrid>
      <w:tr>
        <w:trPr>
          <w:tblHeader w:val="on"/>
        </w:trPr>
        <w:tc>
          <w:tcPr/>
          <w:p>
            <w:pPr>
              <w:pStyle w:val="Compact"/>
            </w:pPr>
            <w:r>
              <w:t xml:space="preserve">#</w:t>
            </w:r>
          </w:p>
        </w:tc>
        <w:tc>
          <w:tcPr/>
          <w:p>
            <w:pPr>
              <w:pStyle w:val="Compact"/>
            </w:pPr>
            <w:r>
              <w:t xml:space="preserve">Component</w:t>
            </w:r>
          </w:p>
        </w:tc>
        <w:tc>
          <w:tcPr/>
          <w:p>
            <w:pPr>
              <w:pStyle w:val="Compact"/>
            </w:pPr>
            <w:r>
              <w:t xml:space="preserve">Qty / unit</w:t>
            </w:r>
          </w:p>
        </w:tc>
        <w:tc>
          <w:tcPr/>
          <w:p>
            <w:pPr>
              <w:pStyle w:val="Compact"/>
            </w:pPr>
            <w:r>
              <w:t xml:space="preserve">Placed in service</w:t>
            </w:r>
          </w:p>
        </w:tc>
        <w:tc>
          <w:tcPr/>
          <w:p>
            <w:pPr>
              <w:pStyle w:val="Compact"/>
            </w:pPr>
            <w:r>
              <w:t xml:space="preserve">UL</w:t>
            </w:r>
          </w:p>
        </w:tc>
        <w:tc>
          <w:tcPr/>
          <w:p>
            <w:pPr>
              <w:pStyle w:val="Compact"/>
            </w:pPr>
            <w:r>
              <w:t xml:space="preserve">RUL</w:t>
            </w:r>
          </w:p>
        </w:tc>
        <w:tc>
          <w:tcPr/>
          <w:p>
            <w:pPr>
              <w:pStyle w:val="Compact"/>
            </w:pPr>
            <w:r>
              <w:t xml:space="preserve">Replacement cost</w:t>
            </w:r>
          </w:p>
        </w:tc>
        <w:tc>
          <w:tcPr/>
          <w:p>
            <w:pPr>
              <w:pStyle w:val="Compact"/>
            </w:pPr>
            <w:r>
              <w:t xml:space="preserve">Cost basis</w:t>
            </w:r>
          </w:p>
        </w:tc>
        <w:tc>
          <w:tcPr/>
          <w:p>
            <w:pPr>
              <w:pStyle w:val="Compact"/>
            </w:pPr>
            <w:r>
              <w:t xml:space="preserve">Current balance</w:t>
            </w:r>
          </w:p>
        </w:tc>
        <w:tc>
          <w:tcPr/>
          <w:p>
            <w:pPr>
              <w:pStyle w:val="Compact"/>
            </w:pPr>
            <w:r>
              <w:t xml:space="preserve">Annual contribution</w:t>
            </w:r>
          </w:p>
        </w:tc>
        <w:tc>
          <w:tcPr/>
          <w:p>
            <w:pPr>
              <w:pStyle w:val="Compact"/>
            </w:pPr>
            <w:r>
              <w:t xml:space="preserve">Next action year</w:t>
            </w:r>
          </w:p>
        </w:tc>
      </w:tr>
      <w:tr>
        <w:tc>
          <w:tcPr/>
          <w:p>
            <w:pPr>
              <w:pStyle w:val="Compact"/>
            </w:pPr>
            <w:r>
              <w:t xml:space="preserve">9410</w:t>
            </w:r>
          </w:p>
        </w:tc>
        <w:tc>
          <w:tcPr/>
          <w:p>
            <w:pPr>
              <w:pStyle w:val="Compact"/>
            </w:pPr>
            <w:r>
              <w:t xml:space="preserve">Pool shell and finish</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9420</w:t>
            </w:r>
          </w:p>
        </w:tc>
        <w:tc>
          <w:tcPr/>
          <w:p>
            <w:pPr>
              <w:pStyle w:val="Compact"/>
            </w:pPr>
            <w:r>
              <w:t xml:space="preserve">Pool equipment</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9430</w:t>
            </w:r>
          </w:p>
        </w:tc>
        <w:tc>
          <w:tcPr/>
          <w:p>
            <w:pPr>
              <w:pStyle w:val="Compact"/>
            </w:pPr>
            <w:r>
              <w:t xml:space="preserve">Pool deck</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9440</w:t>
            </w:r>
          </w:p>
        </w:tc>
        <w:tc>
          <w:tcPr/>
          <w:p>
            <w:pPr>
              <w:pStyle w:val="Compact"/>
            </w:pPr>
            <w:r>
              <w:t xml:space="preserve">Spa</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9450</w:t>
            </w:r>
          </w:p>
        </w:tc>
        <w:tc>
          <w:tcPr/>
          <w:p>
            <w:pPr>
              <w:pStyle w:val="Compact"/>
            </w:pPr>
            <w:r>
              <w:t xml:space="preserve">Clubhouse interior finishes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9460</w:t>
            </w:r>
          </w:p>
        </w:tc>
        <w:tc>
          <w:tcPr/>
          <w:p>
            <w:pPr>
              <w:pStyle w:val="Compact"/>
            </w:pPr>
            <w:r>
              <w:t xml:space="preserve">Clubhouse furniture and equipment</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9470</w:t>
            </w:r>
          </w:p>
        </w:tc>
        <w:tc>
          <w:tcPr/>
          <w:p>
            <w:pPr>
              <w:pStyle w:val="Compact"/>
            </w:pPr>
            <w:r>
              <w:t xml:space="preserve">Fitness equipment</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9480</w:t>
            </w:r>
          </w:p>
        </w:tc>
        <w:tc>
          <w:tcPr/>
          <w:p>
            <w:pPr>
              <w:pStyle w:val="Compact"/>
            </w:pPr>
            <w:r>
              <w:t xml:space="preserve">Playground or sport surfaces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9490</w:t>
            </w:r>
          </w:p>
        </w:tc>
        <w:tc>
          <w:tcPr/>
          <w:p>
            <w:pPr>
              <w:pStyle w:val="Compact"/>
            </w:pPr>
            <w:r>
              <w:t xml:space="preserve">Tennis, pickleball, or court surfaces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bookmarkEnd w:id="15"/>
    <w:bookmarkStart w:id="16" w:name="security-and-access"/>
    <w:p>
      <w:pPr>
        <w:pStyle w:val="Heading3"/>
      </w:pPr>
      <w:r>
        <w:t xml:space="preserve">Security and access</w:t>
      </w:r>
    </w:p>
    <w:tbl>
      <w:tblPr>
        <w:tblStyle w:val="Table"/>
        <w:tblW w:type="pct" w:w="5000"/>
        <w:tblLayout w:type="fixed"/>
        <w:tblLook w:firstRow="1" w:lastRow="0" w:firstColumn="0" w:lastColumn="0" w:noHBand="0" w:noVBand="0" w:val="0020"/>
      </w:tblPr>
      <w:tblGrid>
        <w:gridCol w:w="719"/>
        <w:gridCol w:w="719"/>
        <w:gridCol w:w="719"/>
        <w:gridCol w:w="719"/>
        <w:gridCol w:w="719"/>
        <w:gridCol w:w="719"/>
        <w:gridCol w:w="719"/>
        <w:gridCol w:w="719"/>
        <w:gridCol w:w="719"/>
        <w:gridCol w:w="719"/>
        <w:gridCol w:w="719"/>
      </w:tblGrid>
      <w:tr>
        <w:trPr>
          <w:tblHeader w:val="on"/>
        </w:trPr>
        <w:tc>
          <w:tcPr/>
          <w:p>
            <w:pPr>
              <w:pStyle w:val="Compact"/>
            </w:pPr>
            <w:r>
              <w:t xml:space="preserve">#</w:t>
            </w:r>
          </w:p>
        </w:tc>
        <w:tc>
          <w:tcPr/>
          <w:p>
            <w:pPr>
              <w:pStyle w:val="Compact"/>
            </w:pPr>
            <w:r>
              <w:t xml:space="preserve">Component</w:t>
            </w:r>
          </w:p>
        </w:tc>
        <w:tc>
          <w:tcPr/>
          <w:p>
            <w:pPr>
              <w:pStyle w:val="Compact"/>
            </w:pPr>
            <w:r>
              <w:t xml:space="preserve">Qty / unit</w:t>
            </w:r>
          </w:p>
        </w:tc>
        <w:tc>
          <w:tcPr/>
          <w:p>
            <w:pPr>
              <w:pStyle w:val="Compact"/>
            </w:pPr>
            <w:r>
              <w:t xml:space="preserve">Placed in service</w:t>
            </w:r>
          </w:p>
        </w:tc>
        <w:tc>
          <w:tcPr/>
          <w:p>
            <w:pPr>
              <w:pStyle w:val="Compact"/>
            </w:pPr>
            <w:r>
              <w:t xml:space="preserve">UL</w:t>
            </w:r>
          </w:p>
        </w:tc>
        <w:tc>
          <w:tcPr/>
          <w:p>
            <w:pPr>
              <w:pStyle w:val="Compact"/>
            </w:pPr>
            <w:r>
              <w:t xml:space="preserve">RUL</w:t>
            </w:r>
          </w:p>
        </w:tc>
        <w:tc>
          <w:tcPr/>
          <w:p>
            <w:pPr>
              <w:pStyle w:val="Compact"/>
            </w:pPr>
            <w:r>
              <w:t xml:space="preserve">Replacement cost</w:t>
            </w:r>
          </w:p>
        </w:tc>
        <w:tc>
          <w:tcPr/>
          <w:p>
            <w:pPr>
              <w:pStyle w:val="Compact"/>
            </w:pPr>
            <w:r>
              <w:t xml:space="preserve">Cost basis</w:t>
            </w:r>
          </w:p>
        </w:tc>
        <w:tc>
          <w:tcPr/>
          <w:p>
            <w:pPr>
              <w:pStyle w:val="Compact"/>
            </w:pPr>
            <w:r>
              <w:t xml:space="preserve">Current balance</w:t>
            </w:r>
          </w:p>
        </w:tc>
        <w:tc>
          <w:tcPr/>
          <w:p>
            <w:pPr>
              <w:pStyle w:val="Compact"/>
            </w:pPr>
            <w:r>
              <w:t xml:space="preserve">Annual contribution</w:t>
            </w:r>
          </w:p>
        </w:tc>
        <w:tc>
          <w:tcPr/>
          <w:p>
            <w:pPr>
              <w:pStyle w:val="Compact"/>
            </w:pPr>
            <w:r>
              <w:t xml:space="preserve">Next action year</w:t>
            </w:r>
          </w:p>
        </w:tc>
      </w:tr>
      <w:tr>
        <w:tc>
          <w:tcPr/>
          <w:p>
            <w:pPr>
              <w:pStyle w:val="Compact"/>
            </w:pPr>
            <w:r>
              <w:t xml:space="preserve">9510</w:t>
            </w:r>
          </w:p>
        </w:tc>
        <w:tc>
          <w:tcPr/>
          <w:p>
            <w:pPr>
              <w:pStyle w:val="Compact"/>
            </w:pPr>
            <w:r>
              <w:t xml:space="preserve">Access control and gate operators</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9520</w:t>
            </w:r>
          </w:p>
        </w:tc>
        <w:tc>
          <w:tcPr/>
          <w:p>
            <w:pPr>
              <w:pStyle w:val="Compact"/>
            </w:pPr>
            <w:r>
              <w:t xml:space="preserve">Camera and monitoring system</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9530</w:t>
            </w:r>
          </w:p>
        </w:tc>
        <w:tc>
          <w:tcPr/>
          <w:p>
            <w:pPr>
              <w:pStyle w:val="Compact"/>
            </w:pPr>
            <w:r>
              <w:t xml:space="preserve">Intercom or entry system</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bookmarkEnd w:id="16"/>
    <w:bookmarkStart w:id="17" w:name="other"/>
    <w:p>
      <w:pPr>
        <w:pStyle w:val="Heading3"/>
      </w:pPr>
      <w:r>
        <w:t xml:space="preserve">Other</w:t>
      </w:r>
    </w:p>
    <w:tbl>
      <w:tblPr>
        <w:tblStyle w:val="Table"/>
        <w:tblW w:type="pct" w:w="5000"/>
        <w:tblLayout w:type="fixed"/>
        <w:tblLook w:firstRow="1" w:lastRow="0" w:firstColumn="0" w:lastColumn="0" w:noHBand="0" w:noVBand="0" w:val="0020"/>
      </w:tblPr>
      <w:tblGrid>
        <w:gridCol w:w="719"/>
        <w:gridCol w:w="719"/>
        <w:gridCol w:w="719"/>
        <w:gridCol w:w="719"/>
        <w:gridCol w:w="719"/>
        <w:gridCol w:w="719"/>
        <w:gridCol w:w="719"/>
        <w:gridCol w:w="719"/>
        <w:gridCol w:w="719"/>
        <w:gridCol w:w="719"/>
        <w:gridCol w:w="719"/>
      </w:tblGrid>
      <w:tr>
        <w:trPr>
          <w:tblHeader w:val="on"/>
        </w:trPr>
        <w:tc>
          <w:tcPr/>
          <w:p>
            <w:pPr>
              <w:pStyle w:val="Compact"/>
            </w:pPr>
            <w:r>
              <w:t xml:space="preserve">#</w:t>
            </w:r>
          </w:p>
        </w:tc>
        <w:tc>
          <w:tcPr/>
          <w:p>
            <w:pPr>
              <w:pStyle w:val="Compact"/>
            </w:pPr>
            <w:r>
              <w:t xml:space="preserve">Component</w:t>
            </w:r>
          </w:p>
        </w:tc>
        <w:tc>
          <w:tcPr/>
          <w:p>
            <w:pPr>
              <w:pStyle w:val="Compact"/>
            </w:pPr>
            <w:r>
              <w:t xml:space="preserve">Qty / unit</w:t>
            </w:r>
          </w:p>
        </w:tc>
        <w:tc>
          <w:tcPr/>
          <w:p>
            <w:pPr>
              <w:pStyle w:val="Compact"/>
            </w:pPr>
            <w:r>
              <w:t xml:space="preserve">Placed in service</w:t>
            </w:r>
          </w:p>
        </w:tc>
        <w:tc>
          <w:tcPr/>
          <w:p>
            <w:pPr>
              <w:pStyle w:val="Compact"/>
            </w:pPr>
            <w:r>
              <w:t xml:space="preserve">UL</w:t>
            </w:r>
          </w:p>
        </w:tc>
        <w:tc>
          <w:tcPr/>
          <w:p>
            <w:pPr>
              <w:pStyle w:val="Compact"/>
            </w:pPr>
            <w:r>
              <w:t xml:space="preserve">RUL</w:t>
            </w:r>
          </w:p>
        </w:tc>
        <w:tc>
          <w:tcPr/>
          <w:p>
            <w:pPr>
              <w:pStyle w:val="Compact"/>
            </w:pPr>
            <w:r>
              <w:t xml:space="preserve">Replacement cost</w:t>
            </w:r>
          </w:p>
        </w:tc>
        <w:tc>
          <w:tcPr/>
          <w:p>
            <w:pPr>
              <w:pStyle w:val="Compact"/>
            </w:pPr>
            <w:r>
              <w:t xml:space="preserve">Cost basis</w:t>
            </w:r>
          </w:p>
        </w:tc>
        <w:tc>
          <w:tcPr/>
          <w:p>
            <w:pPr>
              <w:pStyle w:val="Compact"/>
            </w:pPr>
            <w:r>
              <w:t xml:space="preserve">Current balance</w:t>
            </w:r>
          </w:p>
        </w:tc>
        <w:tc>
          <w:tcPr/>
          <w:p>
            <w:pPr>
              <w:pStyle w:val="Compact"/>
            </w:pPr>
            <w:r>
              <w:t xml:space="preserve">Annual contribution</w:t>
            </w:r>
          </w:p>
        </w:tc>
        <w:tc>
          <w:tcPr/>
          <w:p>
            <w:pPr>
              <w:pStyle w:val="Compact"/>
            </w:pPr>
            <w:r>
              <w:t xml:space="preserve">Next action year</w:t>
            </w:r>
          </w:p>
        </w:tc>
      </w:tr>
      <w:tr>
        <w:tc>
          <w:tcPr/>
          <w:p>
            <w:pPr>
              <w:pStyle w:val="Compact"/>
            </w:pPr>
            <w:r>
              <w:t xml:space="preserve">9610</w:t>
            </w:r>
          </w:p>
        </w:tc>
        <w:tc>
          <w:tcPr/>
          <w:p>
            <w:pPr>
              <w:pStyle w:val="Compact"/>
            </w:pPr>
            <w:r>
              <w:t xml:space="preserve">[component]</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rPr>
          <w:b/>
          <w:bCs/>
        </w:rPr>
        <w:t xml:space="preserve">Totals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r>
              <w:t xml:space="preserve">Amount</w:t>
            </w:r>
          </w:p>
        </w:tc>
      </w:tr>
      <w:tr>
        <w:tc>
          <w:tcPr/>
          <w:p>
            <w:pPr>
              <w:pStyle w:val="Compact"/>
            </w:pPr>
            <w:r>
              <w:t xml:space="preserve">Total replacement cost, all components</w:t>
            </w:r>
          </w:p>
        </w:tc>
        <w:tc>
          <w:tcPr/>
          <w:p>
            <w:pPr>
              <w:pStyle w:val="Compact"/>
            </w:pPr>
            <w:r>
              <w:t xml:space="preserve">[$ ]</w:t>
            </w:r>
          </w:p>
        </w:tc>
      </w:tr>
      <w:tr>
        <w:tc>
          <w:tcPr/>
          <w:p>
            <w:pPr>
              <w:pStyle w:val="Compact"/>
            </w:pPr>
            <w:r>
              <w:t xml:space="preserve">Total current reserve balance</w:t>
            </w:r>
          </w:p>
        </w:tc>
        <w:tc>
          <w:tcPr/>
          <w:p>
            <w:pPr>
              <w:pStyle w:val="Compact"/>
            </w:pPr>
            <w:r>
              <w:t xml:space="preserve">[$ ]</w:t>
            </w:r>
          </w:p>
        </w:tc>
      </w:tr>
      <w:tr>
        <w:tc>
          <w:tcPr/>
          <w:p>
            <w:pPr>
              <w:pStyle w:val="Compact"/>
            </w:pPr>
            <w:r>
              <w:t xml:space="preserve">Fully funded balance per the study</w:t>
            </w:r>
          </w:p>
        </w:tc>
        <w:tc>
          <w:tcPr/>
          <w:p>
            <w:pPr>
              <w:pStyle w:val="Compact"/>
            </w:pPr>
            <w:r>
              <w:t xml:space="preserve">[$ ]</w:t>
            </w:r>
          </w:p>
        </w:tc>
      </w:tr>
      <w:tr>
        <w:tc>
          <w:tcPr/>
          <w:p>
            <w:pPr>
              <w:pStyle w:val="Compact"/>
            </w:pPr>
            <w:r>
              <w:t xml:space="preserve">Percent funded</w:t>
            </w:r>
          </w:p>
        </w:tc>
        <w:tc>
          <w:tcPr/>
          <w:p>
            <w:pPr>
              <w:pStyle w:val="Compact"/>
            </w:pPr>
            <w:r>
              <w:t xml:space="preserve">[ %]</w:t>
            </w:r>
          </w:p>
        </w:tc>
      </w:tr>
      <w:tr>
        <w:tc>
          <w:tcPr/>
          <w:p>
            <w:pPr>
              <w:pStyle w:val="Compact"/>
            </w:pPr>
            <w:r>
              <w:t xml:space="preserve">Total annual contribution</w:t>
            </w:r>
          </w:p>
        </w:tc>
        <w:tc>
          <w:tcPr/>
          <w:p>
            <w:pPr>
              <w:pStyle w:val="Compact"/>
            </w:pPr>
            <w:r>
              <w:t xml:space="preserve">[$ ]</w:t>
            </w:r>
          </w:p>
        </w:tc>
      </w:tr>
    </w:tbl>
    <w:p>
      <w:pPr>
        <w:pBdr>
          <w:bottom w:val="single" w:sz="4" w:space="1" w:color="D1D5DB"/>
        </w:pBdr>
        <w:spacing w:before="120" w:after="120"/>
      </w:pPr>
    </w:p>
    <w:bookmarkEnd w:id="17"/>
    <w:bookmarkEnd w:id="18"/>
    <w:bookmarkStart w:id="19" w:name="work-completed-since-the-last-study"/>
    <w:p>
      <w:pPr>
        <w:pStyle w:val="Heading2"/>
      </w:pPr>
      <w:r>
        <w:t xml:space="preserve">4. Work completed since the last study</w:t>
      </w:r>
    </w:p>
    <w:p>
      <w:pPr>
        <w:pStyle w:val="FirstParagraph"/>
      </w:pPr>
      <w:r>
        <w:t xml:space="preserve">The section that keeps the schedule honest. Record every reserve expenditure here as it happens.</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t xml:space="preserve">Date</w:t>
            </w:r>
          </w:p>
        </w:tc>
        <w:tc>
          <w:tcPr/>
          <w:p>
            <w:pPr>
              <w:pStyle w:val="Compact"/>
            </w:pPr>
            <w:r>
              <w:t xml:space="preserve">Component #</w:t>
            </w:r>
          </w:p>
        </w:tc>
        <w:tc>
          <w:tcPr/>
          <w:p>
            <w:pPr>
              <w:pStyle w:val="Compact"/>
            </w:pPr>
            <w:r>
              <w:t xml:space="preserve">Work performed</w:t>
            </w:r>
          </w:p>
        </w:tc>
        <w:tc>
          <w:tcPr/>
          <w:p>
            <w:pPr>
              <w:pStyle w:val="Compact"/>
            </w:pPr>
            <w:r>
              <w:t xml:space="preserve">Actual cost</w:t>
            </w:r>
          </w:p>
        </w:tc>
        <w:tc>
          <w:tcPr/>
          <w:p>
            <w:pPr>
              <w:pStyle w:val="Compact"/>
            </w:pPr>
            <w:r>
              <w:t xml:space="preserve">Variance to schedule</w:t>
            </w:r>
          </w:p>
        </w:tc>
        <w:tc>
          <w:tcPr/>
          <w:p>
            <w:pPr>
              <w:pStyle w:val="Compact"/>
            </w:pPr>
            <w:r>
              <w:t xml:space="preserve">New placed-in-service date</w:t>
            </w:r>
          </w:p>
        </w:tc>
        <w:tc>
          <w:tcPr/>
          <w:p>
            <w:pPr>
              <w:pStyle w:val="Compact"/>
            </w:pPr>
            <w:r>
              <w:t xml:space="preserve">New RUL</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Compact"/>
        <w:numPr>
          <w:ilvl w:val="0"/>
          <w:numId w:val="1005"/>
        </w:numPr>
      </w:pPr>
      <w:r>
        <w:t xml:space="preserve">Every row above is reflected in the component rows in section 3</w:t>
      </w:r>
    </w:p>
    <w:p>
      <w:pPr>
        <w:pStyle w:val="Compact"/>
        <w:numPr>
          <w:ilvl w:val="0"/>
          <w:numId w:val="1006"/>
        </w:numPr>
      </w:pPr>
      <w:r>
        <w:t xml:space="preserve">Every row above ties to a reserve expenditure in the ledger</w:t>
      </w:r>
    </w:p>
    <w:p>
      <w:pPr>
        <w:pStyle w:val="Compact"/>
        <w:numPr>
          <w:ilvl w:val="0"/>
          <w:numId w:val="1007"/>
        </w:numPr>
      </w:pPr>
      <w:r>
        <w:t xml:space="preserve">Large variances are explained, because the next study will use them</w:t>
      </w:r>
    </w:p>
    <w:p>
      <w:pPr>
        <w:pBdr>
          <w:bottom w:val="single" w:sz="4" w:space="1" w:color="D1D5DB"/>
        </w:pBdr>
        <w:spacing w:before="120" w:after="120"/>
      </w:pPr>
    </w:p>
    <w:bookmarkEnd w:id="19"/>
    <w:bookmarkStart w:id="20" w:name="reconciliation"/>
    <w:p>
      <w:pPr>
        <w:pStyle w:val="Heading2"/>
      </w:pPr>
      <w:r>
        <w:t xml:space="preserve">5. Reconciliation</w:t>
      </w:r>
    </w:p>
    <w:p>
      <w:pPr>
        <w:pStyle w:val="FirstParagraph"/>
      </w:pPr>
      <w:r>
        <w:t xml:space="preserve">Do this at least annually, and always before adopting a budget.</w:t>
      </w:r>
    </w:p>
    <w:p>
      <w:pPr>
        <w:pStyle w:val="Compact"/>
        <w:numPr>
          <w:ilvl w:val="0"/>
          <w:numId w:val="1008"/>
        </w:numPr>
      </w:pPr>
      <w:r>
        <w:t xml:space="preserve">Component balances in section 3 sum to the reserve fund balance in the general ledger</w:t>
      </w:r>
    </w:p>
    <w:p>
      <w:pPr>
        <w:pStyle w:val="Compact"/>
        <w:numPr>
          <w:ilvl w:val="0"/>
          <w:numId w:val="1009"/>
        </w:numPr>
      </w:pPr>
      <w:r>
        <w:t xml:space="preserve">Every component here maps to a reserve component account in the chart of accounts</w:t>
      </w:r>
    </w:p>
    <w:p>
      <w:pPr>
        <w:pStyle w:val="Compact"/>
        <w:numPr>
          <w:ilvl w:val="0"/>
          <w:numId w:val="1010"/>
        </w:numPr>
      </w:pPr>
      <w:r>
        <w:t xml:space="preserve">Every reserve component account maps to a component here</w:t>
      </w:r>
    </w:p>
    <w:p>
      <w:pPr>
        <w:pStyle w:val="Compact"/>
        <w:numPr>
          <w:ilvl w:val="0"/>
          <w:numId w:val="1011"/>
        </w:numPr>
      </w:pPr>
      <w:r>
        <w:t xml:space="preserve">Reserve expenditures in the ledger for the year equal the work recorded in section 4</w:t>
      </w:r>
    </w:p>
    <w:p>
      <w:pPr>
        <w:pStyle w:val="Compact"/>
        <w:numPr>
          <w:ilvl w:val="0"/>
          <w:numId w:val="1012"/>
        </w:numPr>
      </w:pPr>
      <w:r>
        <w:t xml:space="preserve">Annual contribution here matches the amount adopted in the budget</w:t>
      </w:r>
    </w:p>
    <w:p>
      <w:pPr>
        <w:pStyle w:val="Compact"/>
        <w:numPr>
          <w:ilvl w:val="0"/>
          <w:numId w:val="1013"/>
        </w:numPr>
      </w:pPr>
      <w:r>
        <w:t xml:space="preserve">Any component with RUL of zero or less has been addressed, deferred with a reason, or rescheduled</w:t>
      </w:r>
    </w:p>
    <w:p>
      <w:pPr>
        <w:pStyle w:val="Compact"/>
        <w:numPr>
          <w:ilvl w:val="0"/>
          <w:numId w:val="1014"/>
        </w:numPr>
      </w:pPr>
      <w:r>
        <w:t xml:space="preserve">Percent funded recalculated and reported to the board</w:t>
      </w:r>
    </w:p>
    <w:p>
      <w:pPr>
        <w:pStyle w:val="FirstParagraph"/>
      </w:pPr>
      <w:r>
        <w:rPr>
          <w:b/>
          <w:bCs/>
        </w:rPr>
        <w:t xml:space="preserve">Reconciled by:</w:t>
      </w:r>
      <w:r>
        <w:t xml:space="preserve"> </w:t>
      </w:r>
      <w:r>
        <w:t xml:space="preserve">____________________</w:t>
      </w:r>
      <w:r>
        <w:t xml:space="preserve"> </w:t>
      </w:r>
      <w:r>
        <w:rPr>
          <w:b/>
          <w:bCs/>
        </w:rPr>
        <w:t xml:space="preserve">Date:</w:t>
      </w:r>
      <w:r>
        <w:t xml:space="preserve"> </w:t>
      </w:r>
      <w:r>
        <w:t xml:space="preserve">____________</w:t>
      </w:r>
    </w:p>
    <w:p>
      <w:pPr>
        <w:pBdr>
          <w:bottom w:val="single" w:sz="4" w:space="1" w:color="D1D5DB"/>
        </w:pBdr>
        <w:spacing w:before="120" w:after="120"/>
      </w:pPr>
    </w:p>
    <w:bookmarkEnd w:id="20"/>
    <w:bookmarkStart w:id="21" w:name="maintenance-of-this-schedule"/>
    <w:p>
      <w:pPr>
        <w:pStyle w:val="Heading2"/>
      </w:pPr>
      <w:r>
        <w:t xml:space="preserve">6. Maintenance of this schedule</w:t>
      </w:r>
    </w:p>
    <w:p>
      <w:pPr>
        <w:pStyle w:val="Compact"/>
        <w:numPr>
          <w:ilvl w:val="0"/>
          <w:numId w:val="1015"/>
        </w:numPr>
      </w:pPr>
      <w:r>
        <w:t xml:space="preserve">Owner of this document named: ____________________</w:t>
      </w:r>
    </w:p>
    <w:p>
      <w:pPr>
        <w:pStyle w:val="Compact"/>
        <w:numPr>
          <w:ilvl w:val="0"/>
          <w:numId w:val="1016"/>
        </w:numPr>
      </w:pPr>
      <w:r>
        <w:t xml:space="preserve">Updated when work is completed, not annually in arrears</w:t>
      </w:r>
    </w:p>
    <w:p>
      <w:pPr>
        <w:pStyle w:val="Compact"/>
        <w:numPr>
          <w:ilvl w:val="0"/>
          <w:numId w:val="1017"/>
        </w:numPr>
      </w:pPr>
      <w:r>
        <w:t xml:space="preserve">Reviewed at budget time every year</w:t>
      </w:r>
    </w:p>
    <w:p>
      <w:pPr>
        <w:pStyle w:val="Compact"/>
        <w:numPr>
          <w:ilvl w:val="0"/>
          <w:numId w:val="1018"/>
        </w:numPr>
      </w:pPr>
      <w:r>
        <w:t xml:space="preserve">Provided to the preparer at the next study, with the completed-work log</w:t>
      </w:r>
    </w:p>
    <w:p>
      <w:pPr>
        <w:pStyle w:val="Compact"/>
        <w:numPr>
          <w:ilvl w:val="0"/>
          <w:numId w:val="1019"/>
        </w:numPr>
      </w:pPr>
      <w:r>
        <w:t xml:space="preserve">Retained in the official records with each year’s version kept</w:t>
      </w:r>
    </w:p>
    <w:p>
      <w:pPr>
        <w:pStyle w:val="FirstParagraph"/>
      </w:pPr>
      <w:r>
        <w:rPr>
          <w:b/>
          <w:bCs/>
        </w:rPr>
        <w:t xml:space="preserve">Builder note.</w:t>
      </w:r>
      <w:r>
        <w:t xml:space="preserve"> </w:t>
      </w:r>
      <w:r>
        <w:t xml:space="preserve">Handing this schedule and the completed-work log to the next preparer is the single cheapest thing an association can do to improve its next reserve study. A preparer who can see what was actually replaced and what it actually cost produces better numbers than one working from the property alone.</w:t>
      </w:r>
    </w:p>
    <w:p>
      <w:pPr>
        <w:pBdr>
          <w:bottom w:val="single" w:sz="4" w:space="1" w:color="D1D5DB"/>
        </w:pBdr>
        <w:spacing w:before="120" w:after="120"/>
      </w:pPr>
    </w:p>
    <w:bookmarkEnd w:id="21"/>
    <w:bookmarkStart w:id="22" w:name="disclaimer"/>
    <w:p>
      <w:pPr>
        <w:pStyle w:val="Heading2"/>
      </w:pPr>
      <w:r>
        <w:t xml:space="preserve">Disclaimer</w:t>
      </w:r>
    </w:p>
    <w:p>
      <w:pPr>
        <w:pStyle w:val="FirstParagraph"/>
      </w:pPr>
      <w:r>
        <w:t xml:space="preserve">This is a starting point, not legal, accounting, or engineering advice, and it is deliberately not state specific. It reflects reserve practice used nationally and does not state the law of any state.</w:t>
      </w:r>
    </w:p>
    <w:p>
      <w:pPr>
        <w:pStyle w:val="BodyText"/>
      </w:pPr>
      <w:r>
        <w:t xml:space="preserve">Reserve requirements differ substantially between states, including whether a study is required, which components must be included, whether a minimum cost threshold applies, whether reserves must be funded, and what reserve money may be spent on. Do not treat the absence of a requirement here as evidence that your state does not impose one, and do not use the eligibility test in section 1 to exclude anything your state requires.</w:t>
      </w:r>
    </w:p>
    <w:p>
      <w:pPr>
        <w:pStyle w:val="BodyText"/>
      </w:pPr>
      <w:r>
        <w:t xml:space="preserve">The component list here is a starting inventory, not a statement of what your property has or what your association is responsible for. Your declaration and bylaws determine maintenance responsibility and control over anything in this document. Useful life and cost figures must come from your own study and your own market, not from a template.</w:t>
      </w:r>
    </w:p>
    <w:p>
      <w:pPr>
        <w:pStyle w:val="BodyText"/>
      </w:pPr>
      <w:r>
        <w:t xml:space="preserve">Have the association’s reserve preparer confirm the component list, and its attorney confirm the state requirements, before the board relies on this. Common Elements does not practice law, accountancy, or engineering, and using this schedule creates no professional relationship.</w:t>
      </w:r>
    </w:p>
    <w:bookmarkEnd w:id="22"/>
    <w:bookmarkEnd w:id="23"/>
    <w:sectPr>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pBdr>
        <w:top w:val="single" w:sz="4" w:space="6" w:color="D1D5DB"/>
      </w:pBdr>
      <w:tabs>
        <w:tab w:val="right" w:pos="9360"/>
      </w:tabs>
      <w:spacing w:before="80" w:after="0"/>
    </w:pPr>
    <w:r>
      <w:rPr>
        <w:rFonts w:ascii="Calibri" w:hAnsi="Calibri"/>
        <w:b/>
        <w:color w:val="0A2240"/>
        <w:sz w:val="16"/>
        <w:szCs w:val="16"/>
      </w:rPr>
      <w:t xml:space="preserve">Common</w:t>
    </w:r>
    <w:r>
      <w:rPr>
        <w:rFonts w:ascii="Calibri" w:hAnsi="Calibri"/>
        <w:b/>
        <w:color w:val="F26522"/>
        <w:sz w:val="20"/>
        <w:szCs w:val="20"/>
      </w:rPr>
      <w:t xml:space="preserve">.</w:t>
    </w:r>
    <w:r>
      <w:rPr>
        <w:rFonts w:ascii="Calibri" w:hAnsi="Calibri"/>
        <w:b/>
        <w:color w:val="0A2240"/>
        <w:sz w:val="16"/>
        <w:szCs w:val="16"/>
      </w:rPr>
      <w:t xml:space="preserve">Elements</w:t>
    </w:r>
    <w:r>
      <w:rPr>
        <w:rFonts w:ascii="Calibri" w:hAnsi="Calibri"/>
        <w:color w:val="6B7280"/>
        <w:sz w:val="16"/>
        <w:szCs w:val="16"/>
      </w:rPr>
      <w:t xml:space="preserve">   Free templates for community associations at </w:t>
    </w:r>
    <w:hyperlink r:id="rIdCEsite">
      <w:r>
        <w:rPr>
          <w:rFonts w:ascii="Calibri" w:hAnsi="Calibri"/>
          <w:color w:val="0A2240"/>
          <w:u w:val="single"/>
          <w:sz w:val="16"/>
          <w:szCs w:val="16"/>
        </w:rPr>
        <w:t xml:space="preserve">commonelements.com</w:t>
      </w:r>
    </w:hyperlink>
    <w:r>
      <w:rPr>
        <w:rFonts w:ascii="Calibri" w:hAnsi="Calibri"/>
        <w:color w:val="6B7280"/>
        <w:sz w:val="16"/>
      </w:rPr>
      <w:tab/>
      <w:t xml:space="preserve">Page </w:t>
    </w:r>
    <w:r>
      <w:fldChar w:fldCharType="begin"/>
    </w:r>
    <w:r>
      <w:instrText xml:space="preserve"> PAGE </w:instrText>
    </w:r>
    <w:r>
      <w:fldChar w:fldCharType="separate"/>
    </w:r>
    <w:r>
      <w:fldChar w:fldCharType="end"/>
    </w:r>
    <w:r>
      <w:rPr>
        <w:rFonts w:ascii="Calibri" w:hAnsi="Calibri"/>
        <w:color w:val="6B7280"/>
        <w:sz w:val="16"/>
        <w:szCs w:val="16"/>
      </w:rPr>
      <w:t xml:space="preserve"> of </w:t>
    </w:r>
    <w:r>
      <w:fldChar w:fldCharType="begin"/>
    </w:r>
    <w:r>
      <w:instrText xml:space="preserve"> NUMPAGES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2"/>
  </w:num>
  <w:num w:numId="1002">
    <w:abstractNumId w:val="992"/>
  </w:num>
  <w:num w:numId="1003">
    <w:abstractNumId w:val="992"/>
  </w:num>
  <w:num w:numId="1004">
    <w:abstractNumId w:val="992"/>
  </w:num>
  <w:num w:numId="1005">
    <w:abstractNumId w:val="992"/>
  </w:num>
  <w:num w:numId="1006">
    <w:abstractNumId w:val="992"/>
  </w:num>
  <w:num w:numId="1007">
    <w:abstractNumId w:val="992"/>
  </w:num>
  <w:num w:numId="1008">
    <w:abstractNumId w:val="992"/>
  </w:num>
  <w:num w:numId="1009">
    <w:abstractNumId w:val="992"/>
  </w:num>
  <w:num w:numId="1010">
    <w:abstractNumId w:val="992"/>
  </w:num>
  <w:num w:numId="1011">
    <w:abstractNumId w:val="992"/>
  </w:num>
  <w:num w:numId="1012">
    <w:abstractNumId w:val="992"/>
  </w:num>
  <w:num w:numId="1013">
    <w:abstractNumId w:val="992"/>
  </w:num>
  <w:num w:numId="1014">
    <w:abstractNumId w:val="992"/>
  </w:num>
  <w:num w:numId="1015">
    <w:abstractNumId w:val="992"/>
  </w:num>
  <w:num w:numId="1016">
    <w:abstractNumId w:val="992"/>
  </w:num>
  <w:num w:numId="1017">
    <w:abstractNumId w:val="992"/>
  </w:num>
  <w:num w:numId="1018">
    <w:abstractNumId w:val="992"/>
  </w:num>
  <w:num w:numId="1019">
    <w:abstractNumId w:val="992"/>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color w:val="0A2240"/>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A224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A224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A224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Next/>
      <w:spacing w:after="80" w:before="0"/>
      <w:ind w:firstLine="0" w:left="0" w:right="0"/>
      <w:jc w:val="center"/>
    </w:pPr>
    <w:rPr>
      <w:rFonts w:asciiTheme="majorHAnsi" w:hAnsiTheme="majorHAnsi"/>
      <w:b/>
      <w:caps/>
      <w:spacing w:val="20"/>
      <w:color w:val="0A2240"/>
      <w:sz w:val="32"/>
      <w:szCs w:val="32"/>
    </w:rPr>
  </w:style>
  <w:style w:customStyle="1" w:styleId="CenteredHead" w:type="paragraph">
    <w:name w:val="Centered Head"/>
    <w:basedOn w:val="BodyText"/>
    <w:qFormat/>
    <w:pPr>
      <w:keepNext/>
      <w:spacing w:after="120" w:before="200"/>
      <w:ind w:firstLine="0" w:left="0" w:right="0"/>
      <w:jc w:val="center"/>
    </w:pPr>
    <w:rPr>
      <w:rFonts w:asciiTheme="minorHAnsi" w:hAnsiTheme="minorHAnsi"/>
      <w:b/>
      <w:caps/>
      <w:spacing w:val="12"/>
      <w:color w:val="0A2240"/>
      <w:sz w:val="26"/>
      <w:szCs w:val="26"/>
    </w:rPr>
  </w:style>
  <w:style w:customStyle="1" w:styleId="CenteredBody" w:type="paragraph">
    <w:name w:val="Centered Body"/>
    <w:basedOn w:val="BodyText"/>
    <w:qFormat/>
    <w:pPr>
      <w:keepNext/>
      <w:spacing w:after="40" w:before="0"/>
      <w:ind w:firstLine="0" w:left="0" w:right="0"/>
      <w:jc w:val="center"/>
    </w:pPr>
    <w:rPr>
      <w:rFonts w:asciiTheme="minorHAnsi" w:hAnsiTheme="minorHAnsi"/>
      <w:color w:val="1F2937"/>
      <w:sz w:val="22"/>
      <w:szCs w:val="22"/>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2026-08-22T16:08:32Z</dcterms:created>
  <dcterms:modified xsi:type="dcterms:W3CDTF">2026-08-22T16:08:32Z</dcterms:modified>
</cp:coreProperties>
</file>

<file path=docProps/custom.xml><?xml version="1.0" encoding="utf-8"?>
<Properties xmlns="http://schemas.openxmlformats.org/officeDocument/2006/custom-properties" xmlns:vt="http://schemas.openxmlformats.org/officeDocument/2006/docPropsVTypes"/>
</file>